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240" w:line="360" w:lineRule="atLeast"/>
        <w:ind w:left="0" w:right="0" w:firstLine="0"/>
        <w:jc w:val="left"/>
        <w:rPr>
          <w:rFonts w:ascii="Times New Roman" w:cs="Times New Roman" w:hAnsi="Times New Roman" w:eastAsia="Times New Roman"/>
          <w:outline w:val="0"/>
          <w:color w:val="9d2134"/>
          <w:sz w:val="32"/>
          <w:szCs w:val="32"/>
          <w:rtl w:val="0"/>
          <w14:textFill>
            <w14:solidFill>
              <w14:srgbClr w14:val="9D2235"/>
            </w14:solidFill>
          </w14:textFill>
        </w:rPr>
      </w:pPr>
      <w:r>
        <w:rPr>
          <w:rFonts w:ascii="Times New Roman" w:hAnsi="Times New Roman"/>
          <w:outline w:val="0"/>
          <w:color w:val="9d2134"/>
          <w:sz w:val="32"/>
          <w:szCs w:val="32"/>
          <w:rtl w:val="0"/>
          <w:lang w:val="en-US"/>
          <w14:textFill>
            <w14:solidFill>
              <w14:srgbClr w14:val="9D2235"/>
            </w14:solidFill>
          </w14:textFill>
        </w:rPr>
        <w:t xml:space="preserve">IN-TEXT CITATION: </w:t>
      </w:r>
    </w:p>
    <w:p>
      <w:pPr>
        <w:pStyle w:val="Default"/>
        <w:bidi w:val="0"/>
        <w:spacing w:before="0" w:after="240" w:line="360" w:lineRule="atLeast"/>
        <w:ind w:left="0" w:right="0" w:firstLine="0"/>
        <w:jc w:val="left"/>
        <w:rPr>
          <w:rFonts w:ascii="Times New Roman" w:cs="Times New Roman" w:hAnsi="Times New Roman" w:eastAsia="Times New Roman"/>
          <w:outline w:val="0"/>
          <w:color w:val="d31876"/>
          <w:sz w:val="26"/>
          <w:szCs w:val="26"/>
          <w:rtl w:val="0"/>
          <w14:textFill>
            <w14:solidFill>
              <w14:srgbClr w14:val="D41876"/>
            </w14:solidFill>
          </w14:textFill>
        </w:rPr>
      </w:pPr>
      <w:r>
        <w:rPr>
          <w:rFonts w:ascii="Times New Roman" w:hAnsi="Times New Roman"/>
          <w:outline w:val="0"/>
          <w:color w:val="d31876"/>
          <w:sz w:val="26"/>
          <w:szCs w:val="26"/>
          <w:rtl w:val="0"/>
          <w:lang w:val="en-US"/>
          <w14:textFill>
            <w14:solidFill>
              <w14:srgbClr w14:val="D41876"/>
            </w14:solidFill>
          </w14:textFill>
        </w:rPr>
        <w:t xml:space="preserve">REFERENCING SOURCES WITHIN THE TEXT </w:t>
      </w:r>
    </w:p>
    <w:p>
      <w:pPr>
        <w:pStyle w:val="Body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One Author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>……</w:t>
      </w:r>
      <w:r>
        <w:rPr>
          <w:rFonts w:ascii="Times New Roman" w:hAnsi="Times New Roman"/>
          <w:rtl w:val="0"/>
          <w:lang w:val="en-US"/>
        </w:rPr>
        <w:t>. (Harris, 2021)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Harris (2021) based on research in the field, reported that</w:t>
      </w:r>
      <w:r>
        <w:rPr>
          <w:rFonts w:ascii="Times New Roman" w:hAnsi="Times New Roman" w:hint="default"/>
          <w:rtl w:val="0"/>
          <w:lang w:val="en-US"/>
        </w:rPr>
        <w:t>…</w:t>
      </w:r>
      <w:r>
        <w:rPr>
          <w:rFonts w:ascii="Times New Roman" w:hAnsi="Times New Roman"/>
          <w:rtl w:val="0"/>
          <w:lang w:val="en-US"/>
        </w:rPr>
        <w:t>.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  <w:b w:val="0"/>
          <w:bCs w:val="0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Two Authors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>……</w:t>
      </w:r>
      <w:r>
        <w:rPr>
          <w:rFonts w:ascii="Times New Roman" w:hAnsi="Times New Roman"/>
          <w:rtl w:val="0"/>
          <w:lang w:val="en-US"/>
        </w:rPr>
        <w:t>. (Harris &amp; Cook, 2019)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Harris &amp; Cook, 2019 reported that </w:t>
      </w:r>
      <w:r>
        <w:rPr>
          <w:rFonts w:ascii="Times New Roman" w:hAnsi="Times New Roman" w:hint="default"/>
          <w:rtl w:val="0"/>
          <w:lang w:val="en-US"/>
        </w:rPr>
        <w:t>…</w:t>
      </w:r>
      <w:r>
        <w:rPr>
          <w:rFonts w:ascii="Times New Roman" w:hAnsi="Times New Roman"/>
          <w:rtl w:val="0"/>
          <w:lang w:val="en-US"/>
        </w:rPr>
        <w:t>..  from research conducted in the field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  <w:b w:val="0"/>
          <w:bCs w:val="0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Three Authors</w:t>
      </w:r>
    </w:p>
    <w:p>
      <w:pPr>
        <w:pStyle w:val="Body"/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First reference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 xml:space="preserve">…… </w:t>
      </w:r>
      <w:r>
        <w:rPr>
          <w:rFonts w:ascii="Times New Roman" w:hAnsi="Times New Roman"/>
          <w:rtl w:val="0"/>
          <w:lang w:val="en-US"/>
        </w:rPr>
        <w:t>(Harris, Cook &amp; George, 2019)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Harris, Cook &amp; George (2019) based on research in the field, reported that</w:t>
      </w:r>
      <w:r>
        <w:rPr>
          <w:rFonts w:ascii="Times New Roman" w:hAnsi="Times New Roman" w:hint="default"/>
          <w:rtl w:val="0"/>
          <w:lang w:val="en-US"/>
        </w:rPr>
        <w:t>…</w:t>
      </w:r>
      <w:r>
        <w:rPr>
          <w:rFonts w:ascii="Times New Roman" w:hAnsi="Times New Roman"/>
          <w:rtl w:val="0"/>
          <w:lang w:val="en-US"/>
        </w:rPr>
        <w:t>.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Next references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 xml:space="preserve">…… </w:t>
      </w:r>
      <w:r>
        <w:rPr>
          <w:rFonts w:ascii="Times New Roman" w:hAnsi="Times New Roman"/>
          <w:rtl w:val="0"/>
          <w:lang w:val="en-US"/>
        </w:rPr>
        <w:t>(Harris et al., 2019)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Harris et a.l. (2019) reported that </w:t>
      </w:r>
      <w:r>
        <w:rPr>
          <w:rFonts w:ascii="Times New Roman" w:hAnsi="Times New Roman" w:hint="default"/>
          <w:rtl w:val="0"/>
          <w:lang w:val="en-US"/>
        </w:rPr>
        <w:t>…</w:t>
      </w:r>
      <w:r>
        <w:rPr>
          <w:rFonts w:ascii="Times New Roman" w:hAnsi="Times New Roman"/>
          <w:rtl w:val="0"/>
          <w:lang w:val="en-US"/>
        </w:rPr>
        <w:t>..  from research conducted in the field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More than three authors same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 xml:space="preserve">……  </w:t>
      </w:r>
      <w:r>
        <w:rPr>
          <w:rFonts w:ascii="Times New Roman" w:hAnsi="Times New Roman"/>
          <w:rtl w:val="0"/>
          <w:lang w:val="en-US"/>
        </w:rPr>
        <w:t>(Harris, Cook, George, Levy et al. 2019)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Harris, Cook, George, Levy et al. (2019) reported that </w:t>
      </w:r>
      <w:r>
        <w:rPr>
          <w:rFonts w:ascii="Times New Roman" w:hAnsi="Times New Roman" w:hint="default"/>
          <w:rtl w:val="0"/>
          <w:lang w:val="en-US"/>
        </w:rPr>
        <w:t>…</w:t>
      </w:r>
      <w:r>
        <w:rPr>
          <w:rFonts w:ascii="Times New Roman" w:hAnsi="Times New Roman"/>
          <w:rtl w:val="0"/>
          <w:lang w:val="en-US"/>
        </w:rPr>
        <w:t>..  from research conducted in the field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  <w:b w:val="0"/>
          <w:bCs w:val="0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More than three authors different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 xml:space="preserve">…… </w:t>
      </w:r>
      <w:r>
        <w:rPr>
          <w:rFonts w:ascii="Times New Roman" w:hAnsi="Times New Roman"/>
          <w:rtl w:val="0"/>
          <w:lang w:val="en-US"/>
        </w:rPr>
        <w:t>(Harris et al. 2020)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Harris et al. (2020) reported that </w:t>
      </w:r>
      <w:r>
        <w:rPr>
          <w:rFonts w:ascii="Times New Roman" w:hAnsi="Times New Roman" w:hint="default"/>
          <w:rtl w:val="0"/>
          <w:lang w:val="en-US"/>
        </w:rPr>
        <w:t>…</w:t>
      </w:r>
      <w:r>
        <w:rPr>
          <w:rFonts w:ascii="Times New Roman" w:hAnsi="Times New Roman"/>
          <w:rtl w:val="0"/>
          <w:lang w:val="en-US"/>
        </w:rPr>
        <w:t>..  from research conducted in the field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Table Style 2"/>
        <w:bidi w:val="0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22"/>
          <w:szCs w:val="22"/>
          <w:shd w:val="clear" w:color="auto" w:fill="ffffff"/>
          <w:rtl w:val="0"/>
        </w:rPr>
      </w:pPr>
      <w:r>
        <w:rPr>
          <w:rFonts w:ascii="Times New Roman" w:hAnsi="Times New Roman"/>
          <w:b w:val="1"/>
          <w:bCs w:val="1"/>
          <w:sz w:val="22"/>
          <w:szCs w:val="22"/>
          <w:shd w:val="clear" w:color="auto" w:fill="ffffff"/>
          <w:rtl w:val="0"/>
          <w:lang w:val="en-US"/>
        </w:rPr>
        <w:t>Abbreviated group author</w:t>
      </w:r>
    </w:p>
    <w:p>
      <w:pPr>
        <w:pStyle w:val="Body"/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First reference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 xml:space="preserve">…… </w:t>
      </w:r>
      <w:r>
        <w:rPr>
          <w:rFonts w:ascii="Times New Roman" w:hAnsi="Times New Roman"/>
          <w:rtl w:val="0"/>
          <w:lang w:val="en-US"/>
        </w:rPr>
        <w:t>(Centers for Disease Control and Prevention [CDC], 2020)</w:t>
      </w:r>
    </w:p>
    <w:p>
      <w:pPr>
        <w:pStyle w:val="Table Style 2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en-US"/>
        </w:rPr>
        <w:t>Centers for Disease Control and Prevention (CDC, 2020)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en-US"/>
        </w:rPr>
        <w:t xml:space="preserve"> reported that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n-US"/>
        </w:rPr>
        <w:t>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en-US"/>
        </w:rPr>
        <w:t>..  from research conducted in the field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  <w:i w:val="1"/>
          <w:iCs w:val="1"/>
        </w:rPr>
      </w:pPr>
      <w:r>
        <w:rPr>
          <w:rFonts w:ascii="Times New Roman" w:hAnsi="Times New Roman"/>
          <w:i w:val="1"/>
          <w:iCs w:val="1"/>
          <w:rtl w:val="0"/>
          <w:lang w:val="en-US"/>
        </w:rPr>
        <w:t>Next references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 xml:space="preserve">…… </w:t>
      </w:r>
      <w:r>
        <w:rPr>
          <w:rFonts w:ascii="Times New Roman" w:hAnsi="Times New Roman"/>
          <w:rtl w:val="0"/>
        </w:rPr>
        <w:t>(CDC, 2020)</w:t>
      </w:r>
    </w:p>
    <w:p>
      <w:pPr>
        <w:pStyle w:val="Table Style 2"/>
        <w:bidi w:val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</w:rPr>
        <w:t>CDC (2020)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en-US"/>
        </w:rPr>
        <w:t xml:space="preserve"> reported that 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  <w:lang w:val="en-US"/>
        </w:rPr>
        <w:t>…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en-US"/>
        </w:rPr>
        <w:t>..  from research conducted in the field</w:t>
      </w:r>
    </w:p>
    <w:p>
      <w:pPr>
        <w:pStyle w:val="Table Style 2"/>
        <w:bidi w:val="0"/>
        <w:ind w:left="0" w:right="0" w:firstLine="0"/>
        <w:jc w:val="left"/>
        <w:rPr>
          <w:rFonts w:ascii="Times New Roman" w:cs="Times New Roman" w:hAnsi="Times New Roman" w:eastAsia="Times New Roman"/>
          <w:outline w:val="0"/>
          <w:color w:val="0c3f5f"/>
          <w:sz w:val="28"/>
          <w:szCs w:val="28"/>
          <w:shd w:val="clear" w:color="auto" w:fill="ffffff"/>
          <w:rtl w:val="0"/>
          <w14:textFill>
            <w14:solidFill>
              <w14:srgbClr w14:val="0D405F"/>
            </w14:solidFill>
          </w14:textFill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i w:val="0"/>
          <w:iCs w:val="0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rtl w:val="0"/>
          <w:lang w:val="en-US"/>
        </w:rPr>
        <w:t>Separate sources, different authors: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 xml:space="preserve">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. . . and a number of studies have shown identical results (Sanders, 2008; Smith, 2009).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. . . and a number of studies have shown identical results (Sanders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 et al.</w:t>
      </w:r>
      <w:r>
        <w:rPr>
          <w:rFonts w:ascii="Times New Roman" w:hAnsi="Times New Roman"/>
          <w:sz w:val="22"/>
          <w:szCs w:val="22"/>
          <w:rtl w:val="0"/>
        </w:rPr>
        <w:t>, 2008; Smith, 2009).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i w:val="1"/>
          <w:iCs w:val="1"/>
          <w:sz w:val="22"/>
          <w:szCs w:val="22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i w:val="0"/>
          <w:iCs w:val="0"/>
          <w:sz w:val="22"/>
          <w:szCs w:val="22"/>
          <w:rtl w:val="0"/>
        </w:rPr>
      </w:pPr>
      <w:r>
        <w:rPr>
          <w:rFonts w:ascii="Times New Roman" w:hAnsi="Times New Roman"/>
          <w:b w:val="1"/>
          <w:bCs w:val="1"/>
          <w:i w:val="0"/>
          <w:iCs w:val="0"/>
          <w:sz w:val="22"/>
          <w:szCs w:val="22"/>
          <w:rtl w:val="0"/>
          <w:lang w:val="en-US"/>
        </w:rPr>
        <w:t>Two or more publications by the same author:</w:t>
      </w:r>
      <w:r>
        <w:rPr>
          <w:rFonts w:ascii="Times New Roman" w:hAnsi="Times New Roman"/>
          <w:i w:val="1"/>
          <w:iCs w:val="1"/>
          <w:sz w:val="22"/>
          <w:szCs w:val="22"/>
          <w:rtl w:val="0"/>
        </w:rPr>
        <w:t xml:space="preserve">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 xml:space="preserve">It was found that . . . (Smith, 2000, 2004) 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  <w:rtl w:val="0"/>
        </w:rPr>
        <w:br w:type="page"/>
      </w:r>
    </w:p>
    <w:p>
      <w:pPr>
        <w:pStyle w:val="Default"/>
        <w:bidi w:val="0"/>
        <w:spacing w:before="0" w:after="240" w:line="360" w:lineRule="atLeast"/>
        <w:ind w:left="0" w:right="0" w:firstLine="0"/>
        <w:jc w:val="left"/>
        <w:rPr>
          <w:rFonts w:ascii="Times Roman" w:cs="Times Roman" w:hAnsi="Times Roman" w:eastAsia="Times Roman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d31876"/>
          <w:sz w:val="26"/>
          <w:szCs w:val="26"/>
          <w:rtl w:val="0"/>
          <w:lang w:val="en-US"/>
          <w14:textFill>
            <w14:solidFill>
              <w14:srgbClr w14:val="D41876"/>
            </w14:solidFill>
          </w14:textFill>
        </w:rPr>
        <w:t>REFERENCING SECONDARY SOURCES</w:t>
      </w:r>
      <w:r>
        <w:rPr>
          <w:rFonts w:ascii="Times New Roman" w:hAnsi="Times New Roman"/>
          <w:outline w:val="0"/>
          <w:color w:val="9d2134"/>
          <w:sz w:val="32"/>
          <w:szCs w:val="32"/>
          <w:rtl w:val="0"/>
          <w14:textFill>
            <w14:solidFill>
              <w14:srgbClr w14:val="9D2235"/>
            </w14:solidFill>
          </w14:textFill>
        </w:rPr>
        <w:t xml:space="preserve"> </w:t>
      </w:r>
    </w:p>
    <w:p>
      <w:pPr>
        <w:pStyle w:val="Default"/>
        <w:bidi w:val="0"/>
        <w:spacing w:before="0" w:line="20" w:lineRule="atLeast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22"/>
          <w:szCs w:val="22"/>
          <w:rtl w:val="0"/>
        </w:rPr>
      </w:pPr>
      <w:r>
        <w:rPr>
          <w:rFonts w:ascii="Times Roman" w:hAnsi="Times Roman"/>
          <w:i w:val="1"/>
          <w:iCs w:val="1"/>
          <w:sz w:val="24"/>
          <w:szCs w:val="24"/>
          <w:rtl w:val="0"/>
          <w:lang w:val="en-US"/>
        </w:rPr>
        <w:t xml:space="preserve">Paper/Essay/book </w:t>
      </w:r>
      <w:r>
        <w:rPr>
          <w:rFonts w:ascii="Times Roman" w:hAnsi="Times Roman"/>
          <w:i w:val="1"/>
          <w:iCs w:val="1"/>
          <w:sz w:val="22"/>
          <w:szCs w:val="22"/>
          <w:rtl w:val="0"/>
          <w:lang w:val="en-US"/>
        </w:rPr>
        <w:t>written by Smith who quotes another author called Jones</w:t>
      </w:r>
      <w:r>
        <w:rPr>
          <w:rFonts w:ascii="Times Roman" w:hAnsi="Times Roman"/>
          <w:i w:val="1"/>
          <w:iCs w:val="1"/>
          <w:sz w:val="22"/>
          <w:szCs w:val="22"/>
          <w:rtl w:val="0"/>
          <w:lang w:val="en-US"/>
        </w:rPr>
        <w:t>:</w:t>
      </w:r>
    </w:p>
    <w:p>
      <w:pPr>
        <w:pStyle w:val="Default"/>
        <w:bidi w:val="0"/>
        <w:spacing w:before="0" w:line="20" w:lineRule="atLeast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Times Roman" w:hAnsi="Times Roman"/>
          <w:sz w:val="22"/>
          <w:szCs w:val="22"/>
          <w:rtl w:val="0"/>
          <w:lang w:val="en-US"/>
        </w:rPr>
        <w:t xml:space="preserve">Jones (1990, as cited in Smith, 2009) agreed that the experiment failed to confirm this hypothesis. </w:t>
      </w:r>
    </w:p>
    <w:p>
      <w:pPr>
        <w:pStyle w:val="Default"/>
        <w:bidi w:val="0"/>
        <w:spacing w:before="0" w:line="20" w:lineRule="atLeast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Times Roman" w:hAnsi="Times Roman"/>
          <w:sz w:val="22"/>
          <w:szCs w:val="22"/>
          <w:rtl w:val="0"/>
          <w:lang w:val="en-US"/>
        </w:rPr>
        <w:t xml:space="preserve">The experiment failed to confirm this hypothesis (Jones, 1990, as cited in Smith, 2009). </w:t>
      </w:r>
    </w:p>
    <w:p>
      <w:pPr>
        <w:pStyle w:val="Default"/>
        <w:bidi w:val="0"/>
        <w:spacing w:before="0" w:line="20" w:lineRule="atLeast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  <w:rtl w:val="0"/>
        </w:rPr>
        <w:br w:type="textWrapping"/>
      </w:r>
    </w:p>
    <w:p>
      <w:pPr>
        <w:pStyle w:val="Default"/>
        <w:bidi w:val="0"/>
        <w:spacing w:before="0" w:line="20" w:lineRule="atLeast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22"/>
          <w:szCs w:val="22"/>
          <w:rtl w:val="0"/>
        </w:rPr>
      </w:pPr>
      <w:r>
        <w:rPr>
          <w:rFonts w:ascii="Times Roman" w:hAnsi="Times Roman"/>
          <w:i w:val="1"/>
          <w:iCs w:val="1"/>
          <w:sz w:val="22"/>
          <w:szCs w:val="22"/>
          <w:rtl w:val="0"/>
          <w:lang w:val="en-US"/>
        </w:rPr>
        <w:t xml:space="preserve">The publication date of the primary source is left out if it is not known </w:t>
      </w:r>
    </w:p>
    <w:p>
      <w:pPr>
        <w:pStyle w:val="Default"/>
        <w:bidi w:val="0"/>
        <w:spacing w:before="0" w:line="20" w:lineRule="atLeast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Times Roman" w:hAnsi="Times Roman"/>
          <w:sz w:val="22"/>
          <w:szCs w:val="22"/>
          <w:rtl w:val="0"/>
          <w:lang w:val="da-DK"/>
        </w:rPr>
        <w:t>Jacob</w:t>
      </w:r>
      <w:r>
        <w:rPr>
          <w:rFonts w:ascii="Times Roman" w:hAnsi="Times Roman" w:hint="default"/>
          <w:sz w:val="22"/>
          <w:szCs w:val="22"/>
          <w:rtl w:val="0"/>
        </w:rPr>
        <w:t>’</w:t>
      </w:r>
      <w:r>
        <w:rPr>
          <w:rFonts w:ascii="Times Roman" w:hAnsi="Times Roman"/>
          <w:sz w:val="22"/>
          <w:szCs w:val="22"/>
          <w:rtl w:val="0"/>
          <w:lang w:val="en-US"/>
        </w:rPr>
        <w:t>s diary (as cited in Cohen, 2015) agreed . . 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  <w:rtl w:val="0"/>
        </w:rPr>
        <w:br w:type="textWrapping"/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The letter succeeded in confirming this action (Jacob, as cited in Cohen, 2015). </w:t>
      </w:r>
    </w:p>
    <w:p>
      <w:pPr>
        <w:pStyle w:val="Default"/>
        <w:bidi w:val="0"/>
        <w:spacing w:before="0" w:line="2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</w:p>
    <w:p>
      <w:pPr>
        <w:pStyle w:val="Default"/>
        <w:bidi w:val="0"/>
        <w:spacing w:before="0" w:after="240" w:line="360" w:lineRule="atLeast"/>
        <w:ind w:left="0" w:right="0" w:firstLine="0"/>
        <w:jc w:val="left"/>
        <w:rPr>
          <w:rFonts w:ascii="Times Roman" w:cs="Times Roman" w:hAnsi="Times Roman" w:eastAsia="Times Roman"/>
          <w:outline w:val="0"/>
          <w:color w:val="d31876"/>
          <w:sz w:val="26"/>
          <w:szCs w:val="26"/>
          <w:rtl w:val="0"/>
          <w14:textFill>
            <w14:solidFill>
              <w14:srgbClr w14:val="D41876"/>
            </w14:solidFill>
          </w14:textFill>
        </w:rPr>
      </w:pPr>
      <w:r>
        <w:rPr>
          <w:rFonts w:ascii="Times New Roman" w:hAnsi="Times New Roman"/>
          <w:outline w:val="0"/>
          <w:color w:val="d31876"/>
          <w:sz w:val="26"/>
          <w:szCs w:val="26"/>
          <w:rtl w:val="0"/>
          <w:lang w:val="en-US"/>
          <w14:textFill>
            <w14:solidFill>
              <w14:srgbClr w14:val="D41876"/>
            </w14:solidFill>
          </w14:textFill>
        </w:rPr>
        <w:t xml:space="preserve">DIFFERENT WORKS OF THE SAME AUTHOR NAME </w:t>
      </w:r>
    </w:p>
    <w:p>
      <w:pPr>
        <w:pStyle w:val="Default"/>
        <w:bidi w:val="0"/>
        <w:spacing w:before="0" w:line="20" w:lineRule="atLeast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sz w:val="22"/>
          <w:szCs w:val="22"/>
          <w:rtl w:val="0"/>
        </w:rPr>
      </w:pPr>
      <w:r>
        <w:rPr>
          <w:rFonts w:ascii="Times Roman" w:hAnsi="Times Roman"/>
          <w:i w:val="1"/>
          <w:iCs w:val="1"/>
          <w:sz w:val="24"/>
          <w:szCs w:val="24"/>
          <w:rtl w:val="0"/>
          <w:lang w:val="en-US"/>
        </w:rPr>
        <w:t xml:space="preserve">Paper/Essay/book </w:t>
      </w:r>
      <w:r>
        <w:rPr>
          <w:rFonts w:ascii="Times Roman" w:hAnsi="Times Roman"/>
          <w:i w:val="1"/>
          <w:iCs w:val="1"/>
          <w:sz w:val="22"/>
          <w:szCs w:val="22"/>
          <w:rtl w:val="0"/>
          <w:lang w:val="en-US"/>
        </w:rPr>
        <w:t>written by Smith who quotes another author called Jones</w:t>
      </w:r>
      <w:r>
        <w:rPr>
          <w:rFonts w:ascii="Times Roman" w:hAnsi="Times Roman"/>
          <w:i w:val="1"/>
          <w:iCs w:val="1"/>
          <w:sz w:val="22"/>
          <w:szCs w:val="22"/>
          <w:rtl w:val="0"/>
          <w:lang w:val="en-US"/>
        </w:rPr>
        <w:t>:</w:t>
      </w:r>
    </w:p>
    <w:p>
      <w:pPr>
        <w:pStyle w:val="Default"/>
        <w:bidi w:val="0"/>
        <w:spacing w:before="0" w:line="280" w:lineRule="atLeast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outline w:val="0"/>
          <w:color w:val="ed220b"/>
          <w:rtl w:val="0"/>
          <w14:textFill>
            <w14:solidFill>
              <w14:srgbClr w14:val="EE220C"/>
            </w14:solidFill>
          </w14:textFill>
        </w:rPr>
        <w:t>J. M.</w:t>
      </w:r>
      <w:r>
        <w:rPr>
          <w:rFonts w:ascii="Times Roman" w:hAnsi="Times Roman"/>
          <w:rtl w:val="0"/>
        </w:rPr>
        <w:t xml:space="preserve"> Goldberg and Neff (1961) and </w:t>
      </w:r>
      <w:r>
        <w:rPr>
          <w:rFonts w:ascii="Times Roman" w:hAnsi="Times Roman"/>
          <w:outline w:val="0"/>
          <w:color w:val="ed220b"/>
          <w:rtl w:val="0"/>
          <w14:textFill>
            <w14:solidFill>
              <w14:srgbClr w14:val="EE220C"/>
            </w14:solidFill>
          </w14:textFill>
        </w:rPr>
        <w:t>M. E.</w:t>
      </w:r>
      <w:r>
        <w:rPr>
          <w:rFonts w:ascii="Times Roman" w:hAnsi="Times Roman"/>
          <w:rtl w:val="0"/>
          <w:lang w:val="en-US"/>
        </w:rPr>
        <w:t xml:space="preserve"> Goldberg and Wurtz (1972) studied . . . </w:t>
      </w:r>
    </w:p>
    <w:p>
      <w:pPr>
        <w:pStyle w:val="Default"/>
        <w:bidi w:val="0"/>
        <w:spacing w:before="0" w:line="280" w:lineRule="atLeast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</w:p>
    <w:p>
      <w:pPr>
        <w:pStyle w:val="Default"/>
        <w:bidi w:val="0"/>
        <w:spacing w:before="0" w:line="280" w:lineRule="atLeast"/>
        <w:ind w:left="0" w:right="0" w:firstLine="0"/>
        <w:jc w:val="left"/>
        <w:rPr>
          <w:rFonts w:ascii="Times Roman" w:cs="Times Roman" w:hAnsi="Times Roman" w:eastAsia="Times Roman"/>
          <w:i w:val="1"/>
          <w:iCs w:val="1"/>
          <w:rtl w:val="0"/>
        </w:rPr>
      </w:pPr>
      <w:r>
        <w:rPr>
          <w:rFonts w:ascii="Times Roman" w:hAnsi="Times Roman"/>
          <w:i w:val="1"/>
          <w:iCs w:val="1"/>
          <w:rtl w:val="0"/>
          <w:lang w:val="en-US"/>
        </w:rPr>
        <w:t xml:space="preserve">For different works by exactly the same author(s), published in the same year, </w:t>
      </w:r>
    </w:p>
    <w:p>
      <w:pPr>
        <w:pStyle w:val="Default"/>
        <w:bidi w:val="0"/>
        <w:spacing w:before="0" w:line="280" w:lineRule="atLeast"/>
        <w:ind w:left="0" w:right="0" w:firstLine="0"/>
        <w:jc w:val="left"/>
        <w:rPr>
          <w:rFonts w:ascii="Times Roman" w:cs="Times Roman" w:hAnsi="Times Roman" w:eastAsia="Times Roman"/>
          <w:rtl w:val="0"/>
        </w:rPr>
      </w:pPr>
      <w:r>
        <w:rPr>
          <w:rFonts w:ascii="Times Roman" w:hAnsi="Times Roman"/>
          <w:i w:val="1"/>
          <w:iCs w:val="1"/>
          <w:rtl w:val="0"/>
          <w:lang w:val="en-US"/>
        </w:rPr>
        <w:t>(</w:t>
      </w:r>
      <w:r>
        <w:rPr>
          <w:rFonts w:ascii="Times Roman" w:hAnsi="Times Roman"/>
          <w:i w:val="1"/>
          <w:iCs w:val="1"/>
          <w:rtl w:val="0"/>
          <w:lang w:val="en-US"/>
        </w:rPr>
        <w:t xml:space="preserve">you should differentiate the works by including </w:t>
      </w:r>
      <w:r>
        <w:rPr>
          <w:rFonts w:ascii="Times Roman" w:hAnsi="Times Roman" w:hint="default"/>
          <w:i w:val="1"/>
          <w:iCs w:val="1"/>
          <w:rtl w:val="0"/>
        </w:rPr>
        <w:t>‘</w:t>
      </w:r>
      <w:r>
        <w:rPr>
          <w:rFonts w:ascii="Times Roman" w:hAnsi="Times Roman"/>
          <w:i w:val="1"/>
          <w:iCs w:val="1"/>
          <w:rtl w:val="0"/>
        </w:rPr>
        <w:t>a</w:t>
      </w:r>
      <w:r>
        <w:rPr>
          <w:rFonts w:ascii="Times Roman" w:hAnsi="Times Roman" w:hint="default"/>
          <w:i w:val="1"/>
          <w:iCs w:val="1"/>
          <w:rtl w:val="0"/>
        </w:rPr>
        <w:t>’</w:t>
      </w:r>
      <w:r>
        <w:rPr>
          <w:rFonts w:ascii="Times Roman" w:hAnsi="Times Roman"/>
          <w:i w:val="1"/>
          <w:iCs w:val="1"/>
          <w:rtl w:val="0"/>
        </w:rPr>
        <w:t xml:space="preserve">, </w:t>
      </w:r>
      <w:r>
        <w:rPr>
          <w:rFonts w:ascii="Times Roman" w:hAnsi="Times Roman" w:hint="default"/>
          <w:i w:val="1"/>
          <w:iCs w:val="1"/>
          <w:rtl w:val="0"/>
        </w:rPr>
        <w:t>‘</w:t>
      </w:r>
      <w:r>
        <w:rPr>
          <w:rFonts w:ascii="Times Roman" w:hAnsi="Times Roman"/>
          <w:i w:val="1"/>
          <w:iCs w:val="1"/>
          <w:rtl w:val="0"/>
        </w:rPr>
        <w:t>b</w:t>
      </w:r>
      <w:r>
        <w:rPr>
          <w:rFonts w:ascii="Times Roman" w:hAnsi="Times Roman" w:hint="default"/>
          <w:i w:val="1"/>
          <w:iCs w:val="1"/>
          <w:rtl w:val="0"/>
        </w:rPr>
        <w:t xml:space="preserve">’ </w:t>
      </w:r>
      <w:r>
        <w:rPr>
          <w:rFonts w:ascii="Times Roman" w:hAnsi="Times Roman"/>
          <w:i w:val="1"/>
          <w:iCs w:val="1"/>
          <w:rtl w:val="0"/>
        </w:rPr>
        <w:t xml:space="preserve">or </w:t>
      </w:r>
      <w:r>
        <w:rPr>
          <w:rFonts w:ascii="Times Roman" w:hAnsi="Times Roman" w:hint="default"/>
          <w:i w:val="1"/>
          <w:iCs w:val="1"/>
          <w:rtl w:val="0"/>
        </w:rPr>
        <w:t>‘</w:t>
      </w:r>
      <w:r>
        <w:rPr>
          <w:rFonts w:ascii="Times Roman" w:hAnsi="Times Roman"/>
          <w:i w:val="1"/>
          <w:iCs w:val="1"/>
          <w:rtl w:val="0"/>
        </w:rPr>
        <w:t>c</w:t>
      </w:r>
      <w:r>
        <w:rPr>
          <w:rFonts w:ascii="Times Roman" w:hAnsi="Times Roman" w:hint="default"/>
          <w:i w:val="1"/>
          <w:iCs w:val="1"/>
          <w:rtl w:val="0"/>
        </w:rPr>
        <w:t xml:space="preserve">’ </w:t>
      </w:r>
      <w:r>
        <w:rPr>
          <w:rFonts w:ascii="Times Roman" w:hAnsi="Times Roman"/>
          <w:i w:val="1"/>
          <w:iCs w:val="1"/>
          <w:rtl w:val="0"/>
          <w:lang w:val="en-US"/>
        </w:rPr>
        <w:t>etc. after the year when citing in-text</w:t>
      </w:r>
      <w:r>
        <w:rPr>
          <w:rFonts w:ascii="Times Roman" w:hAnsi="Times Roman"/>
          <w:i w:val="1"/>
          <w:iCs w:val="1"/>
          <w:rtl w:val="0"/>
          <w:lang w:val="en-US"/>
        </w:rPr>
        <w:t>)</w:t>
      </w:r>
      <w:r>
        <w:rPr>
          <w:rFonts w:ascii="Times Roman" w:hAnsi="Times Roman"/>
          <w:rtl w:val="0"/>
        </w:rPr>
        <w:t xml:space="preserve"> </w:t>
      </w: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Times Roman" w:hAnsi="Times Roman"/>
          <w:sz w:val="22"/>
          <w:szCs w:val="22"/>
          <w:rtl w:val="0"/>
          <w:lang w:val="en-US"/>
        </w:rPr>
        <w:t>Jones (1999a) stated . . 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  <w:rtl w:val="0"/>
        </w:rPr>
        <w:br w:type="textWrapping"/>
      </w:r>
      <w:r>
        <w:rPr>
          <w:rFonts w:ascii="Times Roman" w:hAnsi="Times Roman"/>
          <w:sz w:val="22"/>
          <w:szCs w:val="22"/>
          <w:rtl w:val="0"/>
          <w:lang w:val="en-US"/>
        </w:rPr>
        <w:t>Jones (1999b) stated . . 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2"/>
          <w:szCs w:val="22"/>
          <w:rtl w:val="0"/>
        </w:rPr>
        <w:br w:type="textWrapping"/>
      </w:r>
      <w:r>
        <w:rPr>
          <w:rFonts w:ascii="Times Roman" w:hAnsi="Times Roman"/>
          <w:sz w:val="22"/>
          <w:szCs w:val="22"/>
          <w:rtl w:val="0"/>
          <w:lang w:val="es-ES_tradnl"/>
        </w:rPr>
        <w:t>Jones (1999a</w:t>
      </w:r>
      <w:r>
        <w:rPr>
          <w:rFonts w:ascii="Times Roman" w:hAnsi="Times Roman"/>
          <w:sz w:val="22"/>
          <w:szCs w:val="22"/>
          <w:rtl w:val="0"/>
          <w:lang w:val="en-US"/>
        </w:rPr>
        <w:t>) and Jones(</w:t>
      </w:r>
      <w:r>
        <w:rPr>
          <w:rFonts w:ascii="Times Roman" w:hAnsi="Times Roman"/>
          <w:sz w:val="22"/>
          <w:szCs w:val="22"/>
          <w:rtl w:val="0"/>
          <w:lang w:val="en-US"/>
        </w:rPr>
        <w:t xml:space="preserve">1999b) stated . . . Jones (2008) stated . . . </w:t>
      </w: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  <w:r>
        <w:rPr>
          <w:rFonts w:ascii="Times Roman" w:hAnsi="Times Roman"/>
          <w:sz w:val="22"/>
          <w:szCs w:val="22"/>
          <w:rtl w:val="0"/>
          <w:lang w:val="en-US"/>
        </w:rPr>
        <w:t>It was found that</w:t>
      </w:r>
      <w:r>
        <w:rPr>
          <w:rFonts w:ascii="Times Roman" w:hAnsi="Times Roman" w:hint="default"/>
          <w:sz w:val="22"/>
          <w:szCs w:val="22"/>
          <w:rtl w:val="0"/>
          <w:lang w:val="en-US"/>
        </w:rPr>
        <w:t xml:space="preserve">…… </w:t>
      </w:r>
      <w:r>
        <w:rPr>
          <w:rFonts w:ascii="Times Roman" w:hAnsi="Times Roman"/>
          <w:sz w:val="22"/>
          <w:szCs w:val="22"/>
          <w:rtl w:val="0"/>
          <w:lang w:val="en-US"/>
        </w:rPr>
        <w:t>(Jones 1999a,b; Jones 2008)</w:t>
      </w: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Fonts w:ascii="Times Roman" w:cs="Times Roman" w:hAnsi="Times Roman" w:eastAsia="Times Roman"/>
          <w:sz w:val="22"/>
          <w:szCs w:val="22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outline w:val="0"/>
          <w:color w:val="ff42a1"/>
          <w:sz w:val="26"/>
          <w:szCs w:val="26"/>
          <w:shd w:val="clear" w:color="auto" w:fill="ffffff"/>
          <w:rtl w:val="0"/>
          <w14:textFill>
            <w14:solidFill>
              <w14:srgbClr w14:val="FF42A1"/>
            </w14:solidFill>
          </w14:textFill>
        </w:rPr>
      </w:pPr>
      <w:r>
        <w:rPr>
          <w:rFonts w:ascii="Times New Roman" w:hAnsi="Times New Roman"/>
          <w:outline w:val="0"/>
          <w:color w:val="ff42a1"/>
          <w:sz w:val="26"/>
          <w:szCs w:val="26"/>
          <w:shd w:val="clear" w:color="auto" w:fill="ffffff"/>
          <w:rtl w:val="0"/>
          <w:lang w:val="en-US"/>
          <w14:textFill>
            <w14:solidFill>
              <w14:srgbClr w14:val="FF42A1"/>
            </w14:solidFill>
          </w14:textFill>
        </w:rPr>
        <w:t>PERSONAL COMMUNICATION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</w:pP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fldChar w:fldCharType="begin" w:fldLock="0"/>
      </w: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instrText xml:space="preserve"> HYPERLINK "https://www.scribbr.com/apa-examples/personal-communication/"</w:instrText>
      </w: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fldChar w:fldCharType="separate" w:fldLock="0"/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en-US"/>
        </w:rPr>
        <w:t>Personal communications</w:t>
      </w:r>
      <w:r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  <w:fldChar w:fldCharType="end" w:fldLock="0"/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en-US"/>
        </w:rPr>
        <w:t>, such as phone calls, emails, and interviews, are not included in the reference list because readers can</w:t>
      </w:r>
      <w:r>
        <w:rPr>
          <w:rFonts w:ascii="Times New Roman" w:hAnsi="Times New Roman" w:hint="default"/>
          <w:sz w:val="22"/>
          <w:szCs w:val="22"/>
          <w:shd w:val="clear" w:color="auto" w:fill="ffffff"/>
          <w:rtl w:val="0"/>
        </w:rPr>
        <w:t>’</w:t>
      </w: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en-US"/>
        </w:rPr>
        <w:t>t access them.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</w:pPr>
      <w:r>
        <w:rPr>
          <w:rFonts w:ascii="Times New Roman" w:hAnsi="Times New Roman"/>
          <w:sz w:val="22"/>
          <w:szCs w:val="22"/>
          <w:shd w:val="clear" w:color="auto" w:fill="ffffff"/>
          <w:rtl w:val="0"/>
          <w:lang w:val="en-US"/>
        </w:rPr>
        <w:t>They should be avoided!!!!</w:t>
      </w: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</w:pP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shd w:val="clear" w:color="auto" w:fill="ffffff"/>
          <w:rtl w:val="0"/>
        </w:rPr>
      </w:pPr>
    </w:p>
    <w:p>
      <w:pPr>
        <w:pStyle w:val="Default"/>
        <w:bidi w:val="0"/>
        <w:spacing w:before="0" w:after="240" w:line="360" w:lineRule="atLeast"/>
        <w:ind w:left="0" w:right="0" w:firstLine="0"/>
        <w:jc w:val="left"/>
        <w:rPr>
          <w:rFonts w:ascii="Times Roman" w:cs="Times Roman" w:hAnsi="Times Roman" w:eastAsia="Times Roman"/>
          <w:outline w:val="0"/>
          <w:color w:val="000000"/>
          <w:sz w:val="24"/>
          <w:szCs w:val="24"/>
          <w:rtl w:val="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outline w:val="0"/>
          <w:color w:val="ff42a1"/>
          <w:sz w:val="26"/>
          <w:szCs w:val="26"/>
          <w:rtl w:val="0"/>
          <w:lang w:val="en-US"/>
          <w14:textFill>
            <w14:solidFill>
              <w14:srgbClr w14:val="FF42A1"/>
            </w14:solidFill>
          </w14:textFill>
        </w:rPr>
        <w:t xml:space="preserve">BOOKS AND BOOK CHAPTERS </w:t>
      </w:r>
    </w:p>
    <w:p>
      <w:pPr>
        <w:pStyle w:val="Body"/>
        <w:rPr>
          <w:rFonts w:ascii="Times New Roman" w:cs="Times New Roman" w:hAnsi="Times New Roman" w:eastAsia="Times New Roman"/>
          <w:b w:val="1"/>
          <w:bCs w:val="1"/>
          <w:i w:val="1"/>
          <w:iCs w:val="1"/>
        </w:rPr>
      </w:pPr>
      <w:r>
        <w:rPr>
          <w:rFonts w:ascii="Times New Roman" w:hAnsi="Times New Roman"/>
          <w:b w:val="1"/>
          <w:bCs w:val="1"/>
          <w:i w:val="1"/>
          <w:iCs w:val="1"/>
          <w:rtl w:val="0"/>
          <w:lang w:val="en-US"/>
        </w:rPr>
        <w:t>One Author</w:t>
      </w: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 w:hAnsi="Times Roman"/>
          <w:sz w:val="27"/>
          <w:szCs w:val="27"/>
          <w:rtl w:val="0"/>
          <w:lang w:val="en-US"/>
        </w:rPr>
        <w:t>Andreasen (2001) stated that . . 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7"/>
          <w:szCs w:val="27"/>
          <w:rtl w:val="0"/>
        </w:rPr>
        <w:br w:type="textWrapping"/>
      </w:r>
      <w:r>
        <w:rPr>
          <w:rFonts w:ascii="Times Roman" w:hAnsi="Times Roman"/>
          <w:sz w:val="27"/>
          <w:szCs w:val="27"/>
          <w:rtl w:val="0"/>
          <w:lang w:val="en-US"/>
        </w:rPr>
        <w:t xml:space="preserve">It is suggested that. . . (Andreasen, 2001). </w:t>
      </w:r>
    </w:p>
    <w:p>
      <w:pPr>
        <w:pStyle w:val="Body"/>
        <w:rPr>
          <w:rFonts w:ascii="Times New Roman" w:cs="Times New Roman" w:hAnsi="Times New Roman" w:eastAsia="Times New Roman"/>
          <w:b w:val="0"/>
          <w:bCs w:val="0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Two Authors</w:t>
      </w: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 w:hAnsi="Times Roman"/>
          <w:sz w:val="27"/>
          <w:szCs w:val="27"/>
          <w:rtl w:val="0"/>
          <w:lang w:val="en-US"/>
        </w:rPr>
        <w:t xml:space="preserve">Copstead </w:t>
      </w:r>
      <w:r>
        <w:rPr>
          <w:rFonts w:ascii="Times Roman" w:hAnsi="Times Roman"/>
          <w:outline w:val="0"/>
          <w:color w:val="ed220b"/>
          <w:sz w:val="27"/>
          <w:szCs w:val="27"/>
          <w:rtl w:val="0"/>
          <w14:textFill>
            <w14:solidFill>
              <w14:srgbClr w14:val="EE220C"/>
            </w14:solidFill>
          </w14:textFill>
        </w:rPr>
        <w:t>and</w:t>
      </w:r>
      <w:r>
        <w:rPr>
          <w:rFonts w:ascii="Times Roman" w:hAnsi="Times Roman"/>
          <w:sz w:val="27"/>
          <w:szCs w:val="27"/>
          <w:rtl w:val="0"/>
          <w:lang w:val="en-US"/>
        </w:rPr>
        <w:t xml:space="preserve"> Banasik (2005) stated that . . 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7"/>
          <w:szCs w:val="27"/>
          <w:rtl w:val="0"/>
        </w:rPr>
        <w:br w:type="textWrapping"/>
      </w:r>
      <w:r>
        <w:rPr>
          <w:rFonts w:ascii="Times Roman" w:hAnsi="Times Roman"/>
          <w:sz w:val="27"/>
          <w:szCs w:val="27"/>
          <w:rtl w:val="0"/>
          <w:lang w:val="en-US"/>
        </w:rPr>
        <w:t xml:space="preserve">It is suggested that. . . (Copstead </w:t>
      </w:r>
      <w:r>
        <w:rPr>
          <w:rFonts w:ascii="Times Roman" w:hAnsi="Times Roman"/>
          <w:outline w:val="0"/>
          <w:color w:val="ed220b"/>
          <w:sz w:val="27"/>
          <w:szCs w:val="27"/>
          <w:rtl w:val="0"/>
          <w14:textFill>
            <w14:solidFill>
              <w14:srgbClr w14:val="EE220C"/>
            </w14:solidFill>
          </w14:textFill>
        </w:rPr>
        <w:t>&amp;</w:t>
      </w:r>
      <w:r>
        <w:rPr>
          <w:rFonts w:ascii="Times Roman" w:hAnsi="Times Roman"/>
          <w:sz w:val="27"/>
          <w:szCs w:val="27"/>
          <w:rtl w:val="0"/>
        </w:rPr>
        <w:t xml:space="preserve"> Banasik, 2005). </w:t>
      </w:r>
    </w:p>
    <w:p>
      <w:pPr>
        <w:pStyle w:val="Body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More than three authors same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 xml:space="preserve">……  </w:t>
      </w:r>
      <w:r>
        <w:rPr>
          <w:rFonts w:ascii="Times New Roman" w:hAnsi="Times New Roman"/>
          <w:rtl w:val="0"/>
          <w:lang w:val="en-US"/>
        </w:rPr>
        <w:t>(Harris, Cook, George, Levy et al. 2019)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Harris, Cook, George, Levy et al. (2019) reported that </w:t>
      </w:r>
      <w:r>
        <w:rPr>
          <w:rFonts w:ascii="Times New Roman" w:hAnsi="Times New Roman" w:hint="default"/>
          <w:rtl w:val="0"/>
          <w:lang w:val="en-US"/>
        </w:rPr>
        <w:t>…</w:t>
      </w:r>
      <w:r>
        <w:rPr>
          <w:rFonts w:ascii="Times New Roman" w:hAnsi="Times New Roman"/>
          <w:rtl w:val="0"/>
          <w:lang w:val="en-US"/>
        </w:rPr>
        <w:t>..  from research conducted in the field</w:t>
      </w: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</w:rPr>
      </w:pPr>
    </w:p>
    <w:p>
      <w:pPr>
        <w:pStyle w:val="Body"/>
        <w:rPr>
          <w:rFonts w:ascii="Times New Roman" w:cs="Times New Roman" w:hAnsi="Times New Roman" w:eastAsia="Times New Roman"/>
          <w:b w:val="0"/>
          <w:bCs w:val="0"/>
        </w:rPr>
      </w:pPr>
      <w:r>
        <w:rPr>
          <w:rFonts w:ascii="Times New Roman" w:hAnsi="Times New Roman"/>
          <w:b w:val="1"/>
          <w:bCs w:val="1"/>
          <w:rtl w:val="0"/>
          <w:lang w:val="en-US"/>
        </w:rPr>
        <w:t>More than three authors different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Research conducted in the field has shown that</w:t>
      </w:r>
      <w:r>
        <w:rPr>
          <w:rFonts w:ascii="Times New Roman" w:hAnsi="Times New Roman" w:hint="default"/>
          <w:rtl w:val="0"/>
          <w:lang w:val="en-US"/>
        </w:rPr>
        <w:t xml:space="preserve">…… </w:t>
      </w:r>
      <w:r>
        <w:rPr>
          <w:rFonts w:ascii="Times New Roman" w:hAnsi="Times New Roman"/>
          <w:rtl w:val="0"/>
          <w:lang w:val="en-US"/>
        </w:rPr>
        <w:t>(Harris et al. 2020)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 xml:space="preserve">Harris et al. (2020) reported that </w:t>
      </w:r>
      <w:r>
        <w:rPr>
          <w:rFonts w:ascii="Times New Roman" w:hAnsi="Times New Roman" w:hint="default"/>
          <w:rtl w:val="0"/>
          <w:lang w:val="en-US"/>
        </w:rPr>
        <w:t>…</w:t>
      </w:r>
      <w:r>
        <w:rPr>
          <w:rFonts w:ascii="Times New Roman" w:hAnsi="Times New Roman"/>
          <w:rtl w:val="0"/>
          <w:lang w:val="en-US"/>
        </w:rPr>
        <w:t>..  from research conducted in the field</w:t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Default"/>
        <w:bidi w:val="0"/>
        <w:spacing w:before="0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outline w:val="0"/>
          <w:color w:val="d31876"/>
          <w:sz w:val="26"/>
          <w:szCs w:val="26"/>
          <w:rtl w:val="0"/>
          <w14:textFill>
            <w14:solidFill>
              <w14:srgbClr w14:val="D41876"/>
            </w14:solidFill>
          </w14:textFill>
        </w:rPr>
      </w:pPr>
      <w:r>
        <w:rPr>
          <w:rFonts w:ascii="Times New Roman" w:hAnsi="Times New Roman"/>
          <w:b w:val="1"/>
          <w:bCs w:val="1"/>
          <w:outline w:val="0"/>
          <w:color w:val="d31876"/>
          <w:sz w:val="26"/>
          <w:szCs w:val="26"/>
          <w:rtl w:val="0"/>
          <w:lang w:val="en-US"/>
          <w14:textFill>
            <w14:solidFill>
              <w14:srgbClr w14:val="D41876"/>
            </w14:solidFill>
          </w14:textFill>
        </w:rPr>
        <w:t>Narrative referencing examples</w:t>
      </w: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As Harris (2021) has shown, the correlation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…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.., whereas other investigators have found a different aspect of the problem in hand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…</w:t>
      </w:r>
      <w:r>
        <w:rPr>
          <w:rFonts w:ascii="Times New Roman" w:hAnsi="Times New Roman"/>
          <w:sz w:val="22"/>
          <w:szCs w:val="22"/>
          <w:rtl w:val="0"/>
          <w:lang w:val="en-US"/>
        </w:rPr>
        <w:t>.. (Smith &amp; Saunders, 2018)</w:t>
      </w: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Fonts w:ascii="Times New Roman" w:cs="Times New Roman" w:hAnsi="Times New Roman" w:eastAsia="Times New Roman"/>
          <w:sz w:val="22"/>
          <w:szCs w:val="22"/>
          <w:rtl w:val="0"/>
        </w:rPr>
      </w:pPr>
      <w:r>
        <w:rPr>
          <w:rFonts w:ascii="Times New Roman" w:hAnsi="Times New Roman"/>
          <w:sz w:val="22"/>
          <w:szCs w:val="22"/>
          <w:rtl w:val="0"/>
          <w:lang w:val="en-US"/>
        </w:rPr>
        <w:t>As Harris (2021) has shown, the correlation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…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.., whereas other investigators </w:t>
      </w:r>
      <w:r>
        <w:rPr>
          <w:rFonts w:ascii="Times New Roman" w:hAnsi="Times New Roman"/>
          <w:sz w:val="22"/>
          <w:szCs w:val="22"/>
          <w:rtl w:val="0"/>
          <w:lang w:val="en-US"/>
        </w:rPr>
        <w:t>(Smith &amp; Saunders, 2018)</w:t>
      </w:r>
      <w:r>
        <w:rPr>
          <w:rFonts w:ascii="Times New Roman" w:hAnsi="Times New Roman"/>
          <w:sz w:val="22"/>
          <w:szCs w:val="22"/>
          <w:rtl w:val="0"/>
          <w:lang w:val="en-US"/>
        </w:rPr>
        <w:t xml:space="preserve">,  have found a different aspect of the problem in hand </w:t>
      </w:r>
      <w:r>
        <w:rPr>
          <w:rFonts w:ascii="Times New Roman" w:hAnsi="Times New Roman" w:hint="default"/>
          <w:sz w:val="22"/>
          <w:szCs w:val="22"/>
          <w:rtl w:val="0"/>
          <w:lang w:val="en-US"/>
        </w:rPr>
        <w:t>…</w:t>
      </w:r>
      <w:r>
        <w:rPr>
          <w:rFonts w:ascii="Times New Roman" w:hAnsi="Times New Roman"/>
          <w:sz w:val="22"/>
          <w:szCs w:val="22"/>
          <w:rtl w:val="0"/>
          <w:lang w:val="en-US"/>
        </w:rPr>
        <w:t>..</w:t>
      </w: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  <w:lang w:val="en-US"/>
        </w:rPr>
        <w:t>The choice between parenthetical and narrative in-text citation depends on the writer and the flow of the narrative.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7"/>
          <w:szCs w:val="27"/>
          <w:rtl w:val="0"/>
        </w:rPr>
        <w:br w:type="textWrapping"/>
      </w:r>
    </w:p>
    <w:p>
      <w:pPr>
        <w:pStyle w:val="Default"/>
        <w:bidi w:val="0"/>
        <w:spacing w:before="0" w:after="240" w:line="300" w:lineRule="atLeast"/>
        <w:ind w:left="0" w:right="0" w:firstLine="0"/>
        <w:jc w:val="left"/>
        <w:rPr>
          <w:rtl w:val="0"/>
        </w:rPr>
      </w:pPr>
      <w:r>
        <w:rPr>
          <w:rFonts w:ascii="Times New Roman" w:cs="Times New Roman" w:hAnsi="Times New Roman" w:eastAsia="Times New Roman"/>
          <w:sz w:val="27"/>
          <w:szCs w:val="27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